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text" w:leftFromText="141" w:rightFromText="141" w:tblpX="0" w:tblpY="1" w:topFromText="0" w:vertAnchor="text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7"/>
        <w:gridCol w:w="8936"/>
      </w:tblGrid>
      <w:tr>
        <w:trPr/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color w:val="FF0000"/>
                <w:szCs w:val="24"/>
              </w:rPr>
            </w:pPr>
            <w:r>
              <w:rPr/>
              <w:drawing>
                <wp:inline distT="0" distB="0" distL="0" distR="3175">
                  <wp:extent cx="2155825" cy="805815"/>
                  <wp:effectExtent l="0" t="0" r="0" b="0"/>
                  <wp:docPr id="1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5080" distL="0" distR="0">
                  <wp:extent cx="4146550" cy="1964055"/>
                  <wp:effectExtent l="0" t="0" r="0" b="0"/>
                  <wp:docPr id="2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0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31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9931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Ecrire </w:t>
            </w:r>
          </w:p>
          <w:p>
            <w:pPr>
              <w:pStyle w:val="Normal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s3-lyon</w:t>
            </w:r>
          </w:p>
          <w:p>
            <w:pPr>
              <w:pStyle w:val="Normal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@snepfsu.net</w:t>
            </w:r>
          </w:p>
          <w:p>
            <w:pPr>
              <w:pStyle w:val="Normal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</w:r>
          </w:p>
          <w:p>
            <w:pPr>
              <w:pStyle w:val="Normal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</w:r>
          </w:p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Aller sur le site: </w:t>
            </w:r>
          </w:p>
          <w:p>
            <w:pPr>
              <w:pStyle w:val="Normal"/>
              <w:jc w:val="both"/>
              <w:rPr/>
            </w:pPr>
            <w:hyperlink r:id="rId4">
              <w:r>
                <w:rPr>
                  <w:rStyle w:val="LienInternet"/>
                  <w:rFonts w:eastAsia="Times New Roman"/>
                  <w:sz w:val="20"/>
                </w:rPr>
                <w:t>www.snepfsu-lyon.net</w:t>
              </w:r>
            </w:hyperlink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="280" w:after="119"/>
              <w:jc w:val="center"/>
              <w:rPr/>
            </w:pPr>
            <w:r>
              <w:rPr>
                <w:rFonts w:ascii="Arial Rounded MT Bold" w:hAnsi="Arial Rounded MT Bold"/>
                <w:b/>
                <w:color w:val="FFC000"/>
                <w:sz w:val="28"/>
                <w:szCs w:val="28"/>
              </w:rPr>
              <w:t>LE</w:t>
            </w:r>
            <w:r>
              <w:rPr>
                <w:rFonts w:ascii="Arial Rounded MT Bold" w:hAnsi="Arial Rounded MT Bold"/>
                <w:b/>
                <w:color w:val="FFC000"/>
                <w:sz w:val="28"/>
                <w:szCs w:val="28"/>
              </w:rPr>
              <w:t xml:space="preserve"> DROIT A </w:t>
            </w:r>
            <w:r>
              <w:rPr>
                <w:rFonts w:ascii="Arial Rounded MT Bold" w:hAnsi="Arial Rounded MT Bold"/>
                <w:b/>
                <w:color w:val="FFC000"/>
                <w:sz w:val="28"/>
                <w:szCs w:val="28"/>
              </w:rPr>
              <w:t>MOBILITÉ</w:t>
            </w:r>
            <w:r>
              <w:rPr>
                <w:rFonts w:ascii="Arial Rounded MT Bold" w:hAnsi="Arial Rounded MT Bold"/>
                <w:b/>
                <w:color w:val="FFC000"/>
                <w:sz w:val="28"/>
                <w:szCs w:val="28"/>
              </w:rPr>
              <w:t xml:space="preserve"> EST EN DANGER !!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</w:rPr>
              <w:t xml:space="preserve">Vous </w:t>
            </w:r>
            <w:r>
              <w:rPr>
                <w:rStyle w:val="Strong"/>
                <w:b w:val="false"/>
              </w:rPr>
              <w:t>serez encore cette année un grand nombre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false"/>
                <w:bCs w:val="false"/>
              </w:rPr>
              <w:t>à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false"/>
              </w:rPr>
              <w:t>demander votre mutation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false"/>
              </w:rPr>
              <w:t xml:space="preserve">dans le cadre du mouvement </w:t>
            </w:r>
            <w:r>
              <w:rPr>
                <w:rStyle w:val="Strong"/>
                <w:b w:val="false"/>
              </w:rPr>
              <w:t>i</w:t>
            </w:r>
            <w:r>
              <w:rPr>
                <w:rStyle w:val="Strong"/>
                <w:b w:val="false"/>
              </w:rPr>
              <w:t xml:space="preserve">ntra académique. </w:t>
            </w:r>
          </w:p>
          <w:p>
            <w:pPr>
              <w:pStyle w:val="Normal"/>
              <w:jc w:val="both"/>
              <w:rPr/>
            </w:pPr>
            <w:r>
              <w:rPr/>
              <w:t>Vous avez pu lors des réunions animées sur les 3 départements de l’académie le 22 mars dernier  par les militants SNEP avoir une information sur les « mutations à l’</w:t>
            </w:r>
            <w:r>
              <w:rPr/>
              <w:t>i</w:t>
            </w:r>
            <w:r>
              <w:rPr/>
              <w:t xml:space="preserve">ntra ».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Vous avez, avec beaucoup d’anxiété, attendu l’ouverture du serveur prévue </w:t>
            </w:r>
            <w:r>
              <w:rPr/>
              <w:t>dans un 1</w:t>
            </w:r>
            <w:r>
              <w:rPr>
                <w:vertAlign w:val="superscript"/>
              </w:rPr>
              <w:t>er</w:t>
            </w:r>
            <w:r>
              <w:rPr/>
              <w:t xml:space="preserve"> temps le 15</w:t>
            </w:r>
            <w:r>
              <w:rPr/>
              <w:t xml:space="preserve"> mars et finalement  vous avez découvert les postes su</w:t>
            </w:r>
            <w:r>
              <w:rPr/>
              <w:t>s</w:t>
            </w:r>
            <w:r>
              <w:rPr/>
              <w:t xml:space="preserve">ceptibles de vous « accueillir » </w:t>
            </w:r>
            <w:r>
              <w:rPr/>
              <w:t>seulement</w:t>
            </w:r>
            <w:r>
              <w:rPr/>
              <w:t xml:space="preserve"> le 3 avril. Certain-es se sont  entendu dire par les services du </w:t>
            </w:r>
            <w:r>
              <w:rPr/>
              <w:t>r</w:t>
            </w:r>
            <w:r>
              <w:rPr/>
              <w:t xml:space="preserve">ectorat que la raison était d’ordre technique ( souci informatique) . C’est FAUX : rien ne peut être ventilé aux demandeurs de mutation tant que le Conseil Technique Académique  n’a pas statué sur les ouvertures et fermetures de postes . Devant l’attitude plus qu’irrespectueuse de la rectrice qui avait en date du 22 mars préféré </w:t>
            </w:r>
            <w:r>
              <w:rPr/>
              <w:t>se rendre</w:t>
            </w:r>
            <w:r>
              <w:rPr/>
              <w:t xml:space="preserve"> à l’ENS pour faire la haie d’honneur au ministre Blanquer et laisser cette instance plus que politique être présidée par un de ses adjoints, TOUS les syndicats siégeant à ce CTA ont </w:t>
            </w:r>
            <w:r>
              <w:rPr/>
              <w:t>décidé de</w:t>
            </w:r>
            <w:r>
              <w:rPr/>
              <w:t xml:space="preserve"> boycotter celui . Il a été reporté au 2 avril dernier.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Initialement le serveur devait ferm</w:t>
            </w:r>
            <w:r>
              <w:rPr/>
              <w:t>er</w:t>
            </w:r>
            <w:r>
              <w:rPr/>
              <w:t xml:space="preserve"> le 12 avril prochain. Les syndicats de la FSU ont obtenu un report de la date limite </w:t>
            </w:r>
            <w:r>
              <w:rPr/>
              <w:t>pour les</w:t>
            </w:r>
            <w:r>
              <w:rPr/>
              <w:t xml:space="preserve"> demandeurs de mutations. </w:t>
            </w:r>
            <w:r>
              <w:rPr/>
              <w:t>C</w:t>
            </w:r>
            <w:r>
              <w:rPr/>
              <w:t xml:space="preserve">ette date se trouve pendant la période des congés scolaires, </w:t>
            </w:r>
            <w:r>
              <w:rPr/>
              <w:t>mais</w:t>
            </w:r>
            <w:r>
              <w:rPr/>
              <w:t xml:space="preserve"> </w:t>
            </w:r>
            <w:r>
              <w:rPr/>
              <w:t>p</w:t>
            </w:r>
            <w:r>
              <w:rPr/>
              <w:t xml:space="preserve">as de soucis, </w:t>
            </w:r>
            <w:r>
              <w:rPr/>
              <w:t>les dates limites de retour de confirmation de demandes et pièces justificatives ont été décalées également.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Où en est le mouvement Intra ?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  <w:t>51 « nouveaux » professeurs EPS entrent dans l’académie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  <w:t>2 ex Professeurs de Ecole seront en face à face pédagogique comme PEPS à la rentrée … sur un support de stagiaires à temps plein.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  <w:t>45 postes sont annoncés disponibles sur SIAM dont 6 REP +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  <w:t>7 postes ont été libérés dans le cadre du mouvement Inter-académique dont un est « déjà » bloqués.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>
                <w:b/>
                <w:color w:val="FF0000"/>
              </w:rPr>
              <w:t xml:space="preserve">13 postes «  bloqués » 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( 10 dans le Rhône – 2 dans la Loire et 1 dans l’Ain)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Des explications !</w:t>
            </w:r>
          </w:p>
          <w:p>
            <w:pPr>
              <w:pStyle w:val="Normal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Comme chaque année avec les réussites en nombre de candidats au CAPEPS sur notre académie, le rectorat anticipe et cherche – trouve des supports pour les accueillir en  tant que stagiaires sur des BMP à 8h ou 9h. Cela passe </w:t>
            </w:r>
            <w:r>
              <w:rPr/>
              <w:t>parfois</w:t>
            </w:r>
            <w:r>
              <w:rPr/>
              <w:t xml:space="preserve"> par des BLOCAGES de postes </w:t>
            </w:r>
            <w:r>
              <w:rPr/>
              <w:t>quand</w:t>
            </w:r>
            <w:r>
              <w:rPr/>
              <w:t xml:space="preserve"> deux d’entre eux sont affectés </w:t>
            </w:r>
            <w:r>
              <w:rPr/>
              <w:t>sur le même établissement</w:t>
            </w:r>
            <w:r>
              <w:rPr/>
              <w:t xml:space="preserve">. Je ne reviens pas ici sur les conséquences </w:t>
            </w:r>
            <w:r>
              <w:rPr/>
              <w:t xml:space="preserve">pédagogiques et d’organisation </w:t>
            </w:r>
            <w:r>
              <w:rPr/>
              <w:t>dans les établissements.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Et cette année, il faut faire face à la « nouvelle » donne des </w:t>
            </w:r>
            <w:r>
              <w:rPr>
                <w:b/>
                <w:color w:val="FF0000"/>
              </w:rPr>
              <w:t>2HSA imposées</w:t>
            </w:r>
            <w:r>
              <w:rPr>
                <w:color w:val="FF0000"/>
              </w:rPr>
              <w:t xml:space="preserve"> </w:t>
            </w:r>
            <w:r>
              <w:rPr/>
              <w:t xml:space="preserve">qui poussent hors de leur établissement certain-es de nos collègues ( déjà 5 sur le département du Rhône) </w:t>
            </w:r>
            <w:r>
              <w:rPr/>
              <w:t xml:space="preserve">qui </w:t>
            </w:r>
            <w:r>
              <w:rPr/>
              <w:t>jusqu’à cette date faisa</w:t>
            </w:r>
            <w:r>
              <w:rPr/>
              <w:t>ie</w:t>
            </w:r>
            <w:r>
              <w:rPr/>
              <w:t>nt l’intégralité de leur service dans leur établissement d’affectation. Ce qui fait dire à la DOS qu’il sera très difficile de trouver des supports pour les stagiaires d’où le nombre important de postes bloqués.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De plus, la politique reconduite depuis des années de contractualisation fait qu’un grand nombre d’heures EPS sont assurées par des non titulaires ( déjà plus de 80 cette année). Ils -elles ne peuvent se satisfaire de cette situation et nous les comprenons. Ils-elles passent le concours Interne et </w:t>
            </w:r>
            <w:r>
              <w:rPr/>
              <w:t>pour la</w:t>
            </w:r>
            <w:r>
              <w:rPr/>
              <w:t xml:space="preserve"> session 2019, 16 d’entre eux sont admissibles. En cas de réussite, ils -elles seront Professeurs Stagiaires </w:t>
            </w:r>
            <w:r>
              <w:rPr/>
              <w:t xml:space="preserve">20H </w:t>
            </w:r>
            <w:r>
              <w:rPr/>
              <w:t>en septembre sur notre académie.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Quand le SNEP et les syndicats de la FSU poussent les enseignants à montrer dans l’action depuis plusieurs mois que tout concourt à ce que nos conditions de travail soient de plus en plus touchées par les décisions prise</w:t>
            </w:r>
            <w:r>
              <w:rPr/>
              <w:t>s</w:t>
            </w:r>
            <w:r>
              <w:rPr/>
              <w:t xml:space="preserve"> par le Ministre, les plus de 200 demandeurs de mutation d’aujourd’hui dans notre académie le vivent et voient leur avenir bien plus sombre qu’auparavant. Et ce n’est qu’un début !!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Le SNEP continuera à œuvrer et ce dés le 14 mai en Groupe de Travail Stagiaires face aux services du Rectorat.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Pour toute situation dans votre établissement qui peut permettre de donner un peu « d’air » au mouvement comme des BMP proches des 8h </w:t>
            </w:r>
            <w:r>
              <w:rPr/>
              <w:t>qui pourraient permettre l’accueil d’un stagiaire</w:t>
            </w:r>
            <w:r>
              <w:rPr/>
              <w:t>, prenez contact avec les militants du SNEP Lyon.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bookmarkStart w:id="0" w:name="_GoBack"/>
            <w:bookmarkEnd w:id="0"/>
            <w:r>
              <w:rPr/>
              <w:t xml:space="preserve">ET dès le </w:t>
            </w:r>
            <w:r>
              <w:rPr>
                <w:b/>
              </w:rPr>
              <w:t>9 mai</w:t>
            </w:r>
            <w:r>
              <w:rPr/>
              <w:t xml:space="preserve"> nous vous appelons à être dans l’action de grève pour montrer que nous ne pouvons pas tout accepter.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</w:r>
          </w:p>
          <w:p>
            <w:pPr>
              <w:pStyle w:val="NormalWeb"/>
              <w:jc w:val="right"/>
              <w:rPr>
                <w:rFonts w:ascii="Helvetica" w:hAnsi="Helvetica"/>
                <w:color w:val="335B74" w:themeColor="text2"/>
                <w:sz w:val="21"/>
                <w:szCs w:val="21"/>
              </w:rPr>
            </w:pPr>
            <w:r>
              <w:rPr>
                <w:rFonts w:ascii="Helvetica" w:hAnsi="Helvetica"/>
                <w:color w:val="335B74" w:themeColor="text2"/>
                <w:sz w:val="21"/>
                <w:szCs w:val="21"/>
              </w:rPr>
              <w:t>Eric Stodezyk pour le secrétariat académique LYON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2"/>
                <w:szCs w:val="22"/>
                <w:lang w:eastAsia="ja-JP"/>
              </w:rPr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Arial" w:hAnsi="Arial" w:cs="Arial"/>
                <w:b/>
                <w:b/>
                <w:bCs/>
                <w:sz w:val="38"/>
                <w:szCs w:val="38"/>
                <w:lang w:eastAsia="ja-JP"/>
              </w:rPr>
            </w:pPr>
            <w:r>
              <w:rPr>
                <w:rFonts w:cs="Arial" w:ascii="Arial" w:hAnsi="Arial"/>
                <w:b/>
                <w:bCs/>
                <w:sz w:val="38"/>
                <w:szCs w:val="38"/>
                <w:lang w:eastAsia="ja-JP"/>
              </w:rPr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szCs w:val="24"/>
                <w:lang w:eastAsia="ja-JP"/>
              </w:rPr>
            </w:pPr>
            <w:r>
              <w:rPr>
                <w:rFonts w:cs="Times" w:ascii="Times" w:hAnsi="Times"/>
                <w:szCs w:val="24"/>
                <w:lang w:eastAsia="ja-JP"/>
              </w:rPr>
            </w:r>
          </w:p>
          <w:p>
            <w:pPr>
              <w:pStyle w:val="Normal"/>
              <w:widowControl w:val="false"/>
              <w:spacing w:before="0" w:after="240"/>
              <w:rPr>
                <w:rFonts w:ascii="Apple Symbols" w:hAnsi="Apple Symbols" w:cs="Apple Symbols"/>
                <w:sz w:val="22"/>
                <w:szCs w:val="22"/>
                <w:lang w:eastAsia="ja-JP"/>
              </w:rPr>
            </w:pPr>
            <w:r>
              <w:rPr>
                <w:rFonts w:cs="Apple Symbols" w:ascii="Apple Symbols" w:hAnsi="Apple Symbols"/>
                <w:sz w:val="22"/>
                <w:szCs w:val="22"/>
                <w:lang w:eastAsia="ja-JP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Cambria" w:hAnsi="Cambria"/>
                <w:b/>
                <w:sz w:val="28"/>
                <w:szCs w:val="28"/>
              </w:rPr>
            </w:r>
          </w:p>
          <w:p>
            <w:pPr>
              <w:pStyle w:val="NormalWeb"/>
              <w:spacing w:before="280" w:after="198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Didot" w:hAnsi="Didot" w:cs="Didot"/>
                <w:b/>
                <w:b/>
                <w:color w:val="FF6600"/>
                <w:sz w:val="20"/>
              </w:rPr>
            </w:pPr>
            <w:r>
              <w:rPr>
                <w:rFonts w:cs="Didot" w:ascii="Didot" w:hAnsi="Didot"/>
                <w:b/>
                <w:color w:val="FF6600"/>
                <w:sz w:val="20"/>
              </w:rPr>
            </w:r>
          </w:p>
        </w:tc>
      </w:tr>
    </w:tbl>
    <w:p>
      <w:pPr>
        <w:pStyle w:val="Normal"/>
        <w:rPr/>
      </w:pPr>
      <w:r>
        <w:rPr>
          <w:sz w:val="20"/>
        </w:rPr>
        <w:br/>
      </w:r>
    </w:p>
    <w:sectPr>
      <w:headerReference w:type="default" r:id="rId5"/>
      <w:footerReference w:type="default" r:id="rId6"/>
      <w:type w:val="nextPage"/>
      <w:pgSz w:w="11906" w:h="16838"/>
      <w:pgMar w:left="851" w:right="680" w:header="708" w:top="765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pple Symbols">
    <w:charset w:val="00"/>
    <w:family w:val="roman"/>
    <w:pitch w:val="variable"/>
  </w:font>
  <w:font w:name="Cambria">
    <w:charset w:val="00"/>
    <w:family w:val="roman"/>
    <w:pitch w:val="variable"/>
  </w:font>
  <w:font w:name="Dido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fr-FR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b4867"/>
    <w:rPr>
      <w:rFonts w:ascii="Lucida Grande" w:hAnsi="Lucida Grande"/>
      <w:sz w:val="18"/>
      <w:szCs w:val="18"/>
      <w:lang w:eastAsia="fr-FR"/>
    </w:rPr>
  </w:style>
  <w:style w:type="character" w:styleId="LienInternet">
    <w:name w:val="Lien Internet"/>
    <w:unhideWhenUsed/>
    <w:rsid w:val="00470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1635a"/>
    <w:rPr>
      <w:color w:val="B26B0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00e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4500ec"/>
    <w:rPr/>
  </w:style>
  <w:style w:type="character" w:styleId="EntteCar" w:customStyle="1">
    <w:name w:val="En-tête Car"/>
    <w:basedOn w:val="DefaultParagraphFont"/>
    <w:link w:val="En-tte"/>
    <w:uiPriority w:val="99"/>
    <w:qFormat/>
    <w:rsid w:val="00ea77b7"/>
    <w:rPr>
      <w:sz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a77b7"/>
    <w:rPr>
      <w:sz w:val="24"/>
      <w:lang w:eastAsia="fr-FR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eastAsia="ＭＳ 明朝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/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b4867"/>
    <w:pPr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qFormat/>
    <w:rsid w:val="00b4384b"/>
    <w:pPr>
      <w:suppressAutoHyphens w:val="true"/>
      <w:spacing w:lineRule="atLeast" w:line="100" w:before="280" w:after="119"/>
    </w:pPr>
    <w:rPr>
      <w:rFonts w:eastAsia="Times New Roman"/>
      <w:szCs w:val="24"/>
    </w:rPr>
  </w:style>
  <w:style w:type="paragraph" w:styleId="Entte">
    <w:name w:val="Header"/>
    <w:basedOn w:val="Normal"/>
    <w:link w:val="En-tteCar"/>
    <w:uiPriority w:val="99"/>
    <w:unhideWhenUsed/>
    <w:rsid w:val="00ea77b7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ea77b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a44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266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snepfsu-lyon.ne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61A24-B269-264A-83BD-5019EAB0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LibreOffice/6.0.7.3$Windows_X86_64 LibreOffice_project/dc89aa7a9eabfd848af146d5086077aeed2ae4a5</Application>
  <Pages>2</Pages>
  <Words>735</Words>
  <Characters>3543</Characters>
  <CharactersWithSpaces>4264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2019-04-07T16:19:00Z</dcterms:created>
  <dc:creator>Eric Stodezyk</dc:creator>
  <dc:description/>
  <dc:language>fr-FR</dc:language>
  <cp:lastModifiedBy/>
  <dcterms:modified xsi:type="dcterms:W3CDTF">2019-04-07T21:20:24Z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